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ms Rmn" w:hAnsi="Tms Rmn"/>
          <w:b/>
          <w:color w:val="000000"/>
          <w:sz w:val="48"/>
        </w:rPr>
        <w:t>Серая заработная плата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Соглашаясь на «серую» заработную плату, гражданин принимает на себя все риски и должен осознавать негативные последствия, к которым это может привести. Важно понимать: именно от вас зависит ваше пенсионное обеспечение.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При расчете размера будущей пенсии участвует только официальный доход, а точнее – начисленные с него страховые взносы на обязательное пенсионное страхование, которые учитываются на индивидуальном лицевом счете и конвертируются в пенсионные баллы. В 2019 году для назначения пенсии необходимо иметь не менее 10 лет стажа и 16,2 балла. Соответственно, чем выше заработная плата, тем больше баллов, а значит и выше пенсия. Стоимость одного пенсионного балла в 2019 году – 87 рублей 24 копейки.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Если Вы работаете неофициально, вам не удастся накопить необходимое количество баллов, и ваш стаж не будет зафиксирован, поэтому сможете претендовать только на социальную пенсию.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Помимо потерь в пенсионном обеспечении, существует еще целый ряд проблем, связанных с неофициальным трудоустройством: отказ в выплате больничного, отпускных. Во избежание негативных последствий рекомендуем в обязательном порядке заключать трудовой договор и контролировать своего работодателя.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Все уплаченные страховые взносы отражаются на индивидуальном лицевом счете (ИЛС), который можно проверить через: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hanging="360"/>
        <w:jc w:val="both"/>
        <w:rPr/>
      </w:pPr>
      <w:r>
        <w:rPr>
          <w:rFonts w:ascii="Tms Rmn" w:hAnsi="Tms Rmn"/>
          <w:color w:val="000000"/>
          <w:sz w:val="24"/>
        </w:rPr>
        <w:t xml:space="preserve">«Личный кабинет гражданина» </w:t>
      </w:r>
      <w:r>
        <w:rPr>
          <w:rFonts w:ascii="Tms Rmn" w:hAnsi="Tms Rmn"/>
          <w:i/>
          <w:color w:val="0000FF"/>
          <w:sz w:val="24"/>
        </w:rPr>
        <w:t>www.es.pfrf.ru</w:t>
      </w:r>
      <w:r>
        <w:rPr>
          <w:rFonts w:ascii="Tms Rmn" w:hAnsi="Tms Rmn"/>
          <w:color w:val="000000"/>
          <w:sz w:val="24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hanging="360"/>
        <w:jc w:val="both"/>
        <w:rPr/>
      </w:pPr>
      <w:r>
        <w:rPr>
          <w:rFonts w:ascii="Tms Rmn" w:hAnsi="Tms Rmn"/>
          <w:color w:val="000000"/>
          <w:sz w:val="24"/>
        </w:rPr>
        <w:t xml:space="preserve">Единый портал государственных и муниципальных услуг </w:t>
      </w:r>
      <w:r>
        <w:rPr>
          <w:rFonts w:ascii="Tms Rmn" w:hAnsi="Tms Rmn"/>
          <w:i/>
          <w:color w:val="0000FF"/>
          <w:sz w:val="24"/>
        </w:rPr>
        <w:t>www.gosuslugi.ru</w:t>
      </w:r>
      <w:r>
        <w:rPr>
          <w:rFonts w:ascii="Tms Rmn" w:hAnsi="Tms Rmn"/>
          <w:color w:val="000000"/>
          <w:sz w:val="24"/>
        </w:rPr>
        <w:t>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Кроме того, сведения о состоянии ИЛС можно получить в территориальном органе Пенсионного фонда или в МФЦ при личном обращении.</w:t>
      </w:r>
    </w:p>
    <w:p>
      <w:pPr>
        <w:pStyle w:val="Normal"/>
        <w:bidi w:val="0"/>
        <w:spacing w:lineRule="auto" w:line="240" w:before="0" w:after="0"/>
        <w:ind w:left="0" w:hanging="0"/>
        <w:jc w:val="left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</w:r>
    </w:p>
    <w:p>
      <w:pPr>
        <w:pStyle w:val="Normal"/>
        <w:spacing w:before="0" w:after="200"/>
        <w:rPr>
          <w:rFonts w:ascii="Tms Rmn" w:hAnsi="Tms Rmn"/>
          <w:b/>
          <w:b/>
          <w:color w:val="000000"/>
          <w:sz w:val="24"/>
        </w:rPr>
      </w:pPr>
      <w:hyperlink r:id="rId2">
        <w:r>
          <w:rPr/>
        </w:r>
      </w:hyperlink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2019-07-19T16:24:49Z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